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EB" w:rsidRPr="00A37BEB" w:rsidRDefault="00A37BEB" w:rsidP="00A37B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выполнения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развитию и сопровождению </w:t>
      </w:r>
      <w:r w:rsidRPr="00A37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методических объединений ОО, творческих групп.</w:t>
      </w:r>
    </w:p>
    <w:p w:rsidR="00000000" w:rsidRDefault="00A37BEB" w:rsidP="00A37BEB">
      <w:pPr>
        <w:jc w:val="center"/>
      </w:pPr>
    </w:p>
    <w:p w:rsidR="00A37BEB" w:rsidRPr="00FA4C5A" w:rsidRDefault="00A37BEB" w:rsidP="00A37BEB">
      <w:pPr>
        <w:spacing w:after="0" w:line="240" w:lineRule="auto"/>
        <w:ind w:right="200" w:firstLine="708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 xml:space="preserve">Школьная методическая служба - это системная, коллективная и индивидуальная деятельность педагогических кадров, базирующаяся на достижениях науки, передового педагогического опыта, направленная на всестороннее повышение компетентности и профессионального мастерства каждого учителя и ориентированная, прежде всего, на повышение творческого потенциала педагогического коллектива в целом, </w:t>
      </w:r>
      <w:proofErr w:type="gramStart"/>
      <w:r w:rsidRPr="00FA4C5A">
        <w:rPr>
          <w:rStyle w:val="2"/>
          <w:rFonts w:eastAsiaTheme="minorEastAsia"/>
          <w:sz w:val="24"/>
          <w:szCs w:val="24"/>
        </w:rPr>
        <w:t>а</w:t>
      </w:r>
      <w:proofErr w:type="gramEnd"/>
      <w:r w:rsidRPr="00FA4C5A">
        <w:rPr>
          <w:rStyle w:val="2"/>
          <w:rFonts w:eastAsiaTheme="minorEastAsia"/>
          <w:sz w:val="24"/>
          <w:szCs w:val="24"/>
        </w:rPr>
        <w:t xml:space="preserve"> в конечном счете - на повышение качества и эффективности образовательного процесса: роста уровня образованности, воспитанности и развития потенциала и возможностей каждого обучающегося.</w:t>
      </w:r>
    </w:p>
    <w:p w:rsidR="00A37BEB" w:rsidRPr="00FA4C5A" w:rsidRDefault="00A37BEB" w:rsidP="00A37BEB">
      <w:pPr>
        <w:spacing w:after="0" w:line="240" w:lineRule="auto"/>
        <w:ind w:right="200" w:firstLine="708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>Миссия методической службы школы - создание образовательно</w:t>
      </w:r>
      <w:r w:rsidRPr="00FA4C5A">
        <w:rPr>
          <w:rStyle w:val="2"/>
          <w:rFonts w:eastAsiaTheme="minorEastAsia"/>
          <w:sz w:val="24"/>
          <w:szCs w:val="24"/>
        </w:rPr>
        <w:softHyphen/>
      </w:r>
      <w:r>
        <w:rPr>
          <w:rStyle w:val="2"/>
          <w:rFonts w:eastAsiaTheme="minorEastAsia"/>
          <w:sz w:val="24"/>
          <w:szCs w:val="24"/>
        </w:rPr>
        <w:t>-</w:t>
      </w:r>
      <w:r w:rsidRPr="00FA4C5A">
        <w:rPr>
          <w:rStyle w:val="2"/>
          <w:rFonts w:eastAsiaTheme="minorEastAsia"/>
          <w:sz w:val="24"/>
          <w:szCs w:val="24"/>
        </w:rPr>
        <w:t>методической среды, способствующей росту творческого поиска и педагогического мастерства коллектива.</w:t>
      </w:r>
    </w:p>
    <w:p w:rsidR="00A37BEB" w:rsidRPr="00FA4C5A" w:rsidRDefault="00A37BEB" w:rsidP="00A37BEB">
      <w:pPr>
        <w:spacing w:after="0" w:line="240" w:lineRule="auto"/>
        <w:ind w:firstLine="740"/>
        <w:jc w:val="both"/>
        <w:rPr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Цель Мониторинга - создание условий для профессионального роста педагогов с использованием эффективной работы школьных методических объединений.</w:t>
      </w:r>
    </w:p>
    <w:p w:rsidR="00A37BEB" w:rsidRPr="00FA4C5A" w:rsidRDefault="00A37BEB" w:rsidP="00A37BEB">
      <w:pPr>
        <w:spacing w:after="0" w:line="240" w:lineRule="auto"/>
        <w:ind w:firstLine="740"/>
        <w:jc w:val="both"/>
        <w:rPr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Участники мониторинга - общеобразовательные организации Кемеровского муниципального округа.</w:t>
      </w:r>
    </w:p>
    <w:p w:rsidR="00A37BEB" w:rsidRPr="00FA4C5A" w:rsidRDefault="00A37BEB" w:rsidP="00A37BEB">
      <w:pPr>
        <w:spacing w:after="0" w:line="240" w:lineRule="auto"/>
        <w:ind w:firstLine="740"/>
        <w:jc w:val="both"/>
        <w:rPr>
          <w:rStyle w:val="2Exact"/>
          <w:rFonts w:eastAsiaTheme="minorEastAsia"/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Мониторингом было предусмотрено обеспечения педагогам оперативной и опережающей личностно-ориентированной методической поддержки и помощи, создания условий для самореализации педагога, реализации индивидуальных программ профессионального образования.</w:t>
      </w:r>
    </w:p>
    <w:p w:rsidR="00A37BEB" w:rsidRPr="00FA4C5A" w:rsidRDefault="00A37BEB" w:rsidP="00A37BEB">
      <w:pPr>
        <w:spacing w:after="0" w:line="240" w:lineRule="auto"/>
        <w:ind w:firstLine="740"/>
        <w:jc w:val="both"/>
        <w:rPr>
          <w:rStyle w:val="2Exact"/>
          <w:rFonts w:asciiTheme="minorHAnsi" w:eastAsiaTheme="minorEastAsia" w:hAnsiTheme="minorHAnsi" w:cstheme="minorBidi"/>
          <w:sz w:val="24"/>
          <w:szCs w:val="24"/>
        </w:rPr>
      </w:pPr>
    </w:p>
    <w:tbl>
      <w:tblPr>
        <w:tblOverlap w:val="never"/>
        <w:tblW w:w="9063" w:type="dxa"/>
        <w:jc w:val="center"/>
        <w:tblInd w:w="-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7126"/>
        <w:gridCol w:w="987"/>
      </w:tblGrid>
      <w:tr w:rsidR="00A37BEB" w:rsidRPr="00FA4C5A" w:rsidTr="00A37BEB">
        <w:trPr>
          <w:trHeight w:hRule="exact" w:val="30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>Результаты самооценки эффективности работы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4A15B3">
        <w:trPr>
          <w:trHeight w:hRule="exact" w:val="302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>Показатель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A37BEB" w:rsidRPr="00FA4C5A" w:rsidTr="004A15B3">
        <w:trPr>
          <w:trHeight w:hRule="exact" w:val="302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>Организационно - правовые ресурсы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4A15B3">
        <w:trPr>
          <w:trHeight w:hRule="exact" w:val="302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Calibri11pt"/>
                <w:rFonts w:eastAsiaTheme="minorEastAsia"/>
                <w:sz w:val="24"/>
                <w:szCs w:val="24"/>
              </w:rPr>
            </w:pPr>
            <w:r>
              <w:rPr>
                <w:rStyle w:val="2Calibri11pt0"/>
              </w:rPr>
              <w:t>Количество ОО КМО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9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0"/>
                <w:rFonts w:ascii="Times New Roman" w:hAnsi="Times New Roman" w:cs="Times New Roman"/>
                <w:sz w:val="24"/>
                <w:szCs w:val="24"/>
              </w:rPr>
              <w:t>Наличие локальных актов ОО, определяющих легитимность и содержание работы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методическом совете ОО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ТРПП (учителей предметников, кафедрах, циклических и др.)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3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ТГРП классных руководителях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4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Утвержденные планы работы всех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5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Наличие циклограммы проведения мероприятий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6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Наличие стенда, уголка и др.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7BEB" w:rsidRPr="00FA4C5A" w:rsidTr="00A37BEB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8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проведении предметных недель.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7BEB" w:rsidRPr="00FA4C5A" w:rsidTr="00A37BEB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9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работе педагогов над темами самообразования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8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порядке определения содержания образования, выбора учебно-методического обеспечения, образовательных технологий по реализуемым образовательным программам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BEB" w:rsidRPr="00FA4C5A" w:rsidTr="00A37BEB">
        <w:trPr>
          <w:trHeight w:hRule="exact" w:val="2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26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повышении квалификации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28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постоянно действующих семинарах, итоговых научно-методических конференций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смотре ТГРП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об учебном кабинете, смотре кабинетов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Организована ли в ОО аттестация заместителей директоров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 на сентябрь 2021 г.,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A37BEB" w:rsidRPr="00FA4C5A" w:rsidTr="00A37BEB">
        <w:trPr>
          <w:trHeight w:hRule="exact" w:val="7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аттестованные в целях подтверждения соответствия занимаемой должности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37BEB" w:rsidRPr="00FA4C5A" w:rsidTr="00A37BEB">
        <w:trPr>
          <w:trHeight w:hRule="exact" w:val="56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первую квалификационную категорию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высшую квалификационную категорию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высшее профессиональное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Число учителей, которые были наставниками в 2019-2020 </w:t>
            </w:r>
            <w:proofErr w:type="spellStart"/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уч</w:t>
            </w:r>
            <w:proofErr w:type="spellEnd"/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.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 xml:space="preserve">Эффективность 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 xml:space="preserve">(период с </w:t>
            </w: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 xml:space="preserve">01.09.2021 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4C5A">
              <w:rPr>
                <w:rStyle w:val="2Calibri11pt"/>
                <w:rFonts w:eastAsiaTheme="minorEastAsia"/>
                <w:sz w:val="24"/>
                <w:szCs w:val="24"/>
              </w:rPr>
              <w:t>01.09.2022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0"/>
                <w:rFonts w:eastAsiaTheme="minorEastAsia"/>
                <w:sz w:val="24"/>
                <w:szCs w:val="24"/>
              </w:rPr>
              <w:t>Школа имеет (имела) статус инновационной площадки: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муниципальной (МИП)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региональной (РИП)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BEB" w:rsidRPr="00FA4C5A" w:rsidTr="00A37BEB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федеральной (ФИП)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EB" w:rsidRPr="00FA4C5A" w:rsidRDefault="00A37BEB" w:rsidP="0001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BEB" w:rsidRPr="00FA4C5A" w:rsidRDefault="00A37BEB" w:rsidP="00A3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EB" w:rsidRPr="00FA4C5A" w:rsidRDefault="00A37BEB" w:rsidP="00A37BEB">
      <w:pPr>
        <w:spacing w:after="0" w:line="240" w:lineRule="auto"/>
        <w:jc w:val="both"/>
        <w:rPr>
          <w:rStyle w:val="2Exact"/>
          <w:rFonts w:eastAsiaTheme="minorEastAsia"/>
          <w:sz w:val="24"/>
          <w:szCs w:val="24"/>
        </w:rPr>
      </w:pPr>
    </w:p>
    <w:p w:rsidR="00A37BEB" w:rsidRPr="00E1037A" w:rsidRDefault="00A37BEB" w:rsidP="00A37BEB">
      <w:pPr>
        <w:rPr>
          <w:rFonts w:ascii="Times New Roman" w:hAnsi="Times New Roman" w:cs="Times New Roman"/>
          <w:sz w:val="24"/>
          <w:szCs w:val="24"/>
        </w:rPr>
      </w:pPr>
    </w:p>
    <w:p w:rsidR="00A37BEB" w:rsidRDefault="00A37BEB" w:rsidP="00A37BEB">
      <w:pPr>
        <w:jc w:val="both"/>
      </w:pPr>
    </w:p>
    <w:sectPr w:rsidR="00A3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57A"/>
    <w:multiLevelType w:val="hybridMultilevel"/>
    <w:tmpl w:val="3E38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BEB"/>
    <w:rsid w:val="00A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EB"/>
    <w:pPr>
      <w:ind w:left="720"/>
      <w:contextualSpacing/>
    </w:pPr>
  </w:style>
  <w:style w:type="character" w:customStyle="1" w:styleId="2">
    <w:name w:val="Основной текст (2)"/>
    <w:basedOn w:val="a0"/>
    <w:rsid w:val="00A37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37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1pt">
    <w:name w:val="Основной текст (2) + Calibri;11 pt;Полужирный"/>
    <w:basedOn w:val="a0"/>
    <w:rsid w:val="00A37BE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1pt0">
    <w:name w:val="Основной текст (2) + Calibri;11 pt;Курсив"/>
    <w:basedOn w:val="a0"/>
    <w:rsid w:val="00A37BEB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0"/>
    <w:rsid w:val="00A37BE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A37BE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A37B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1">
    <w:name w:val="Основной текст (2) + Calibri;11 pt"/>
    <w:basedOn w:val="a0"/>
    <w:rsid w:val="00A37BE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a0"/>
    <w:rsid w:val="00A37B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2021-12-27T09:26:00Z</dcterms:created>
  <dcterms:modified xsi:type="dcterms:W3CDTF">2021-12-27T09:33:00Z</dcterms:modified>
</cp:coreProperties>
</file>